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2500910</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eastAsia="宋体" w:cs="Arial"/>
          <w:b/>
          <w:sz w:val="24"/>
          <w:szCs w:val="24"/>
          <w:lang w:val="en-US" w:eastAsia="zh-CN"/>
        </w:rPr>
        <w:t>Athens, GR, 17th – 21st February</w:t>
      </w:r>
      <w:r>
        <w:rPr>
          <w:rFonts w:hint="eastAsia" w:ascii="Arial" w:hAnsi="Arial" w:eastAsia="宋体" w:cs="Arial"/>
          <w:b/>
          <w:sz w:val="24"/>
          <w:szCs w:val="24"/>
          <w:lang w:val="en-US"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other RRM aspects of R19 NR MIMO Phase 5</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7.22.3.2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eastAsia" w:cs="Arial"/>
          <w:lang w:val="en-US" w:eastAsia="zh-CN"/>
        </w:rPr>
      </w:pPr>
      <w:r>
        <w:rPr>
          <w:rFonts w:hint="eastAsia" w:cs="Arial"/>
          <w:lang w:val="en-US" w:eastAsia="zh-CN"/>
        </w:rPr>
        <w:t>In last meeting, around other RRM aspects of NR MIMO Phase 5, the following agreements were achieved and summarized in [1], we list them as below:</w:t>
      </w:r>
      <w:bookmarkStart w:id="1" w:name="_GoBack"/>
      <w:bookmarkEnd w:id="1"/>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&lt;Topic 1: CSI enhancement to support up to 128 ports &gt;</w:t>
            </w:r>
          </w:p>
          <w:p>
            <w:pPr>
              <w:keepNext w:val="0"/>
              <w:keepLines w:val="0"/>
              <w:pageBreakBefore w:val="0"/>
              <w:kinsoku/>
              <w:wordWrap/>
              <w:overflowPunct/>
              <w:topLinePunct w:val="0"/>
              <w:autoSpaceDE/>
              <w:autoSpaceDN/>
              <w:bidi w:val="0"/>
              <w:adjustRightInd/>
              <w:snapToGrid/>
              <w:textAlignment w:val="auto"/>
              <w:rPr>
                <w:color w:val="000000" w:themeColor="text1"/>
                <w:kern w:val="24"/>
                <w:szCs w:val="24"/>
                <w:lang w:val="en-US" w:eastAsia="zh-CN"/>
                <w14:textFill>
                  <w14:solidFill>
                    <w14:schemeClr w14:val="tx1"/>
                  </w14:solidFill>
                </w14:textFill>
              </w:rPr>
            </w:pPr>
            <w:r>
              <w:rPr>
                <w:color w:val="000000" w:themeColor="text1"/>
                <w:kern w:val="24"/>
                <w:szCs w:val="24"/>
                <w:lang w:val="en-US" w:eastAsia="zh-CN"/>
                <w14:textFill>
                  <w14:solidFill>
                    <w14:schemeClr w14:val="tx1"/>
                  </w14:solidFill>
                </w14:textFill>
              </w:rPr>
              <w:t>Agreement:</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color w:val="000000" w:themeColor="text1"/>
                <w:kern w:val="24"/>
                <w:szCs w:val="24"/>
                <w:lang w:val="en-US" w:eastAsia="zh-CN"/>
                <w14:textFill>
                  <w14:solidFill>
                    <w14:schemeClr w14:val="tx1"/>
                  </w14:solidFill>
                </w14:textFill>
              </w:rPr>
            </w:pPr>
            <w:r>
              <w:rPr>
                <w:color w:val="000000" w:themeColor="text1"/>
                <w:kern w:val="24"/>
                <w14:textFill>
                  <w14:solidFill>
                    <w14:schemeClr w14:val="tx1"/>
                  </w14:solidFill>
                </w14:textFill>
              </w:rPr>
              <w:t xml:space="preserve">No RRM impact by added SRS port grouping to support more than 4 layers. </w:t>
            </w:r>
          </w:p>
          <w:p>
            <w:pPr>
              <w:pStyle w:val="30"/>
              <w:keepNext w:val="0"/>
              <w:keepLines w:val="0"/>
              <w:pageBreakBefore w:val="0"/>
              <w:numPr>
                <w:ilvl w:val="0"/>
                <w:numId w:val="4"/>
              </w:numPr>
              <w:kinsoku/>
              <w:wordWrap/>
              <w:overflowPunct/>
              <w:topLinePunct w:val="0"/>
              <w:autoSpaceDE/>
              <w:autoSpaceDN/>
              <w:bidi w:val="0"/>
              <w:adjustRightInd/>
              <w:snapToGrid/>
              <w:ind w:firstLineChars="0"/>
              <w:textAlignment w:val="auto"/>
              <w:rPr>
                <w:color w:val="000000" w:themeColor="text1"/>
                <w:kern w:val="24"/>
                <w14:textFill>
                  <w14:solidFill>
                    <w14:schemeClr w14:val="tx1"/>
                  </w14:solidFill>
                </w14:textFill>
              </w:rPr>
            </w:pPr>
            <w:r>
              <w:rPr>
                <w:color w:val="000000" w:themeColor="text1"/>
                <w:kern w:val="24"/>
                <w14:textFill>
                  <w14:solidFill>
                    <w14:schemeClr w14:val="tx1"/>
                  </w14:solidFill>
                </w14:textFill>
              </w:rPr>
              <w:t>Note: the agreement can be revisited if any impact observed based on further RAN1 progress.</w:t>
            </w:r>
          </w:p>
          <w:p>
            <w:pPr>
              <w:pageBreakBefore w:val="0"/>
              <w:numPr>
                <w:ilvl w:val="0"/>
                <w:numId w:val="0"/>
              </w:numPr>
              <w:kinsoku/>
              <w:wordWrap/>
              <w:overflowPunct/>
              <w:topLinePunct w:val="0"/>
              <w:autoSpaceDE/>
              <w:autoSpaceDN/>
              <w:bidi w:val="0"/>
              <w:adjustRightInd/>
              <w:snapToGrid w:val="0"/>
              <w:spacing w:line="240" w:lineRule="auto"/>
              <w:textAlignment w:val="auto"/>
              <w:rPr>
                <w:rFonts w:hint="default" w:eastAsia="宋体"/>
                <w:lang w:val="en-US" w:eastAsia="zh-CN"/>
              </w:rPr>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rFonts w:hint="eastAsia"/>
                <w:sz w:val="24"/>
                <w:szCs w:val="24"/>
                <w:lang w:val="en-US" w:eastAsia="zh-CN"/>
              </w:rPr>
            </w:pPr>
            <w:r>
              <w:rPr>
                <w:rFonts w:hint="eastAsia"/>
                <w:sz w:val="24"/>
                <w:szCs w:val="24"/>
                <w:lang w:val="en-US" w:eastAsia="zh-CN"/>
              </w:rPr>
              <w:t>&lt;</w:t>
            </w:r>
            <w:r>
              <w:rPr>
                <w:sz w:val="24"/>
                <w:szCs w:val="24"/>
              </w:rPr>
              <w:t>Topic 2: UE reporting enhancement for CJT calibration</w:t>
            </w:r>
            <w:r>
              <w:rPr>
                <w:rFonts w:hint="eastAsia"/>
                <w:sz w:val="24"/>
                <w:szCs w:val="24"/>
                <w:lang w:val="en-US" w:eastAsia="zh-CN"/>
              </w:rPr>
              <w:t>&gt;</w:t>
            </w:r>
          </w:p>
          <w:p>
            <w:pPr>
              <w:rPr>
                <w:b/>
                <w:u w:val="single"/>
                <w:lang w:eastAsia="ko-KR"/>
              </w:rPr>
            </w:pPr>
            <w:r>
              <w:rPr>
                <w:b/>
                <w:u w:val="single"/>
                <w:lang w:eastAsia="ko-KR"/>
              </w:rPr>
              <w:t>Issue 2-1: On the simulation assumption for CJT calibration</w:t>
            </w:r>
          </w:p>
          <w:p>
            <w:pPr>
              <w:rPr>
                <w:lang w:eastAsia="ko-KR"/>
              </w:rPr>
            </w:pPr>
            <w:r>
              <w:rPr>
                <w:lang w:eastAsia="ko-KR"/>
              </w:rPr>
              <w:t>Agreement is captured in R4-2420209.</w:t>
            </w:r>
          </w:p>
          <w:p>
            <w:pPr>
              <w:pStyle w:val="30"/>
              <w:keepNext w:val="0"/>
              <w:keepLines w:val="0"/>
              <w:pageBreakBefore w:val="0"/>
              <w:numPr>
                <w:ilvl w:val="0"/>
                <w:numId w:val="0"/>
              </w:numPr>
              <w:kinsoku/>
              <w:wordWrap/>
              <w:overflowPunct/>
              <w:topLinePunct w:val="0"/>
              <w:autoSpaceDE/>
              <w:autoSpaceDN/>
              <w:bidi w:val="0"/>
              <w:adjustRightInd/>
              <w:snapToGrid/>
              <w:textAlignment w:val="auto"/>
              <w:rPr>
                <w:lang w:eastAsia="zh-CN"/>
              </w:rPr>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&lt;Topic 3: 3TX support&gt;</w:t>
            </w:r>
          </w:p>
          <w:p>
            <w:pPr>
              <w:rPr>
                <w:b/>
                <w:u w:val="single"/>
                <w:lang w:eastAsia="ko-KR"/>
              </w:rPr>
            </w:pPr>
            <w:r>
              <w:rPr>
                <w:b/>
                <w:u w:val="single"/>
                <w:lang w:eastAsia="ko-KR"/>
              </w:rPr>
              <w:t>Issue 3-1: RRM core/performance impacts by introducing 3TX support?</w:t>
            </w:r>
          </w:p>
          <w:p>
            <w:pPr>
              <w:rPr>
                <w:szCs w:val="18"/>
                <w:lang w:eastAsia="zh-CN"/>
              </w:rPr>
            </w:pPr>
            <w:r>
              <w:rPr>
                <w:szCs w:val="18"/>
                <w:lang w:eastAsia="zh-CN"/>
              </w:rPr>
              <w:t xml:space="preserve">Agreement: </w:t>
            </w:r>
          </w:p>
          <w:p>
            <w:pPr>
              <w:pStyle w:val="30"/>
              <w:numPr>
                <w:ilvl w:val="0"/>
                <w:numId w:val="5"/>
              </w:numPr>
              <w:ind w:firstLineChars="0"/>
              <w:rPr>
                <w:szCs w:val="18"/>
                <w:lang w:eastAsia="zh-CN"/>
              </w:rPr>
            </w:pPr>
            <w:r>
              <w:rPr>
                <w:szCs w:val="18"/>
                <w:lang w:eastAsia="zh-CN"/>
              </w:rPr>
              <w:t xml:space="preserve">No new </w:t>
            </w:r>
            <w:r>
              <w:rPr>
                <w:szCs w:val="22"/>
                <w:lang w:eastAsia="zh-CN"/>
              </w:rPr>
              <w:t>RRM performance requirements by introducing 3TX support.</w:t>
            </w:r>
          </w:p>
          <w:p>
            <w:pPr>
              <w:pStyle w:val="30"/>
              <w:numPr>
                <w:ilvl w:val="0"/>
                <w:numId w:val="0"/>
              </w:numPr>
              <w:ind w:left="360" w:leftChars="0"/>
              <w:rPr>
                <w:rFonts w:hint="eastAsia"/>
                <w:sz w:val="24"/>
                <w:szCs w:val="24"/>
                <w:lang w:val="en-US" w:eastAsia="zh-CN"/>
              </w:rPr>
            </w:pPr>
          </w:p>
          <w:p>
            <w:pPr>
              <w:pStyle w:val="6"/>
              <w:pageBreakBefore w:val="0"/>
              <w:numPr>
                <w:ilvl w:val="0"/>
                <w:numId w:val="0"/>
              </w:numPr>
              <w:kinsoku/>
              <w:wordWrap/>
              <w:overflowPunct/>
              <w:topLinePunct w:val="0"/>
              <w:autoSpaceDE/>
              <w:autoSpaceDN/>
              <w:bidi w:val="0"/>
              <w:adjustRightInd/>
              <w:spacing w:before="0" w:beforeLines="0" w:after="0" w:afterLines="0" w:line="240" w:lineRule="auto"/>
              <w:ind w:leftChars="0"/>
              <w:textAlignment w:val="auto"/>
              <w:rPr>
                <w:sz w:val="24"/>
                <w:szCs w:val="24"/>
              </w:rPr>
            </w:pPr>
            <w:r>
              <w:rPr>
                <w:sz w:val="24"/>
                <w:szCs w:val="24"/>
              </w:rPr>
              <w:t>&lt;Topic 4: Enhancement for asymmetric DL sTRP/UL mTRP scenarios &gt;</w:t>
            </w:r>
          </w:p>
          <w:p>
            <w:pPr>
              <w:pStyle w:val="3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default" w:cs="Arial"/>
                <w:vertAlign w:val="baseline"/>
                <w:lang w:val="en-US" w:eastAsia="zh-CN"/>
              </w:rPr>
            </w:pPr>
            <w:r>
              <w:rPr>
                <w:rFonts w:hint="eastAsia" w:cs="Arial"/>
                <w:vertAlign w:val="baseline"/>
                <w:lang w:val="en-US" w:eastAsia="zh-CN"/>
              </w:rPr>
              <w:t>No agreements approved</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cs="Arial"/>
          <w:lang w:val="en-US" w:eastAsia="zh-CN"/>
        </w:rPr>
      </w:pPr>
      <w:r>
        <w:rPr>
          <w:rFonts w:hint="eastAsia" w:cs="Arial"/>
          <w:lang w:val="en-US" w:eastAsia="zh-CN"/>
        </w:rPr>
        <w:t>For CSI enhancement to support up to 128 ports, we can see RRM impact based on RAN1 latest progress. So in this paper, we provide our detailed analysis mainly around the following objectives:</w:t>
      </w:r>
    </w:p>
    <w:p>
      <w:pPr>
        <w:pStyle w:val="10"/>
        <w:numPr>
          <w:ilvl w:val="0"/>
          <w:numId w:val="6"/>
        </w:numPr>
        <w:bidi w:val="0"/>
        <w:ind w:left="420" w:leftChars="0" w:hanging="420" w:firstLineChars="0"/>
        <w:rPr>
          <w:rFonts w:hint="default" w:cs="Arial"/>
          <w:b w:val="0"/>
          <w:bCs w:val="0"/>
          <w:lang w:val="en-US" w:eastAsia="zh-CN"/>
        </w:rPr>
      </w:pPr>
      <w:r>
        <w:rPr>
          <w:rFonts w:hint="default" w:cs="Arial"/>
          <w:b w:val="0"/>
          <w:bCs w:val="0"/>
          <w:lang w:val="en-US" w:eastAsia="zh-CN"/>
        </w:rPr>
        <w:t>Aperiodic standalone CJT calibration reporting</w:t>
      </w:r>
    </w:p>
    <w:p>
      <w:pPr>
        <w:pStyle w:val="10"/>
        <w:numPr>
          <w:ilvl w:val="0"/>
          <w:numId w:val="6"/>
        </w:numPr>
        <w:bidi w:val="0"/>
        <w:ind w:left="420" w:leftChars="0" w:hanging="420" w:firstLineChars="0"/>
        <w:rPr>
          <w:rFonts w:hint="default" w:cs="Arial"/>
          <w:b w:val="0"/>
          <w:bCs w:val="0"/>
          <w:lang w:val="en-US" w:eastAsia="zh-CN"/>
        </w:rPr>
      </w:pPr>
      <w:r>
        <w:rPr>
          <w:rFonts w:hint="eastAsia" w:cs="Arial"/>
          <w:b w:val="0"/>
          <w:bCs w:val="0"/>
          <w:lang w:val="en-US" w:eastAsia="zh-CN"/>
        </w:rPr>
        <w:t>The enhancement for asymmetric DL sTRP/UL mTRP deployment scenarios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 xml:space="preserve"> </w:t>
      </w:r>
      <w:r>
        <w:rPr>
          <w:rFonts w:hint="eastAsia" w:ascii="Arial" w:hAnsi="Arial" w:cs="Arial"/>
          <w:sz w:val="24"/>
          <w:szCs w:val="24"/>
          <w:lang w:val="en-US" w:eastAsia="zh-CN"/>
        </w:rPr>
        <w:t>Aperiodic standalone CJT calibration reporting</w:t>
      </w:r>
    </w:p>
    <w:p>
      <w:pPr>
        <w:pStyle w:val="10"/>
        <w:bidi w:val="0"/>
        <w:rPr>
          <w:rFonts w:hint="eastAsia"/>
          <w:lang w:val="en-US" w:eastAsia="zh-CN"/>
        </w:rPr>
      </w:pPr>
      <w:r>
        <w:rPr>
          <w:rFonts w:hint="eastAsia"/>
          <w:lang w:val="en-US" w:eastAsia="zh-CN"/>
        </w:rPr>
        <w:t>To overcome the non-ideal backhaul and non-ideal sychronization in real NW deployment for CJT, some new reporting quantities were identified, including the frequency offset reporting, delay offset reporting, DL/UL phase offset reporting. The reporting of these information by UE could facilitate the compensation on delay offset, frequency offset and DL/UL Rx-Tx phase so as to enhance the reciprocity. Based on RAN1 progress, all of these reporting is aperiodically requested by the NW, and the calibration measurements are based on periodic TRS.</w:t>
      </w:r>
    </w:p>
    <w:p>
      <w:pPr>
        <w:pStyle w:val="10"/>
        <w:bidi w:val="0"/>
        <w:rPr>
          <w:rFonts w:hint="default"/>
          <w:lang w:val="en-US" w:eastAsia="zh-CN"/>
        </w:rPr>
      </w:pPr>
      <w:r>
        <w:rPr>
          <w:rFonts w:hint="eastAsia"/>
          <w:lang w:val="en-US" w:eastAsia="zh-CN"/>
        </w:rPr>
        <w:t>So based on the methods of measurements and reporting, it seems that just following the existing CSI measurement and reporting framework is fine. But during last RAN4 meeting, companies proposed to identify either one-shot or multi-shot measurement to be applied, this would impact the measurement period.</w:t>
      </w:r>
    </w:p>
    <w:p>
      <w:pPr>
        <w:pStyle w:val="10"/>
        <w:bidi w:val="0"/>
        <w:rPr>
          <w:rFonts w:hint="default"/>
          <w:lang w:val="en-US" w:eastAsia="zh-CN"/>
        </w:rPr>
      </w:pPr>
      <w:r>
        <w:rPr>
          <w:rFonts w:hint="eastAsia"/>
          <w:b/>
          <w:bCs/>
          <w:lang w:val="en-US" w:eastAsia="zh-CN"/>
        </w:rPr>
        <w:t>Proposal 1: For aperiodic standalone CJT calibration reporting, determine the measurement period and the accuracy based on evaluation results.</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The enhancement for asymmetric DL sTRP/UL mTRP deployment scenarios</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To improve UL throughput and power consumption saving, heterogeneous NW can be deployed with macro nodes and micro nodes in non-co-located deployment. Wherein the micro nodes only apply to provide UL load balance. Not any DL transmission happens in the micro link, so that the micro node can turn off the DL Tx to save power consumption. The following picture depicts the scenario as below:</w:t>
      </w:r>
    </w:p>
    <w:p>
      <w:pPr>
        <w:pStyle w:val="64"/>
        <w:spacing w:after="60" w:afterAutospacing="0"/>
        <w:ind w:firstLine="0"/>
        <w:jc w:val="center"/>
        <w:rPr>
          <w:lang w:val="en-US"/>
        </w:rPr>
      </w:pPr>
      <w:r>
        <w:rPr>
          <w:lang w:val="en-US" w:eastAsia="ko-KR"/>
        </w:rPr>
        <w:drawing>
          <wp:inline distT="0" distB="0" distL="0" distR="0">
            <wp:extent cx="2381885" cy="1118235"/>
            <wp:effectExtent l="0" t="0" r="1079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81885" cy="1118235"/>
                    </a:xfrm>
                    <a:prstGeom prst="rect">
                      <a:avLst/>
                    </a:prstGeom>
                    <a:noFill/>
                  </pic:spPr>
                </pic:pic>
              </a:graphicData>
            </a:graphic>
          </wp:inline>
        </w:drawing>
      </w:r>
    </w:p>
    <w:p>
      <w:pPr>
        <w:pStyle w:val="64"/>
        <w:keepNext/>
        <w:spacing w:after="60" w:afterAutospacing="0"/>
        <w:ind w:firstLine="0"/>
        <w:jc w:val="center"/>
        <w:rPr>
          <w:lang w:val="en-US" w:eastAsia="ko-KR"/>
        </w:rPr>
      </w:pPr>
      <w:bookmarkStart w:id="0" w:name="_Ref159147075"/>
      <w:r>
        <w:rPr>
          <w:rFonts w:hint="eastAsia"/>
          <w:lang w:val="en-US" w:eastAsia="ko-KR"/>
        </w:rPr>
        <w:t xml:space="preserve">Figure </w:t>
      </w:r>
      <w:r>
        <w:fldChar w:fldCharType="begin"/>
      </w:r>
      <w:r>
        <w:instrText xml:space="preserve"> SEQ Figure \* ARABIC </w:instrText>
      </w:r>
      <w:r>
        <w:fldChar w:fldCharType="separate"/>
      </w:r>
      <w:r>
        <w:t>1</w:t>
      </w:r>
      <w:r>
        <w:fldChar w:fldCharType="end"/>
      </w:r>
      <w:bookmarkEnd w:id="0"/>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 xml:space="preserve">As the update in recent WID revision, 2TA through reusing the 2TA for mDCI based mTRP was approved for this scenario. Furthermore, it should be noted that the restriction that </w:t>
      </w:r>
      <w:r>
        <w:rPr>
          <w:rFonts w:hint="eastAsia"/>
          <w:b w:val="0"/>
          <w:bCs w:val="0"/>
          <w:i/>
          <w:iCs/>
          <w:u w:val="none"/>
          <w:lang w:val="en-US" w:eastAsia="zh-CN"/>
        </w:rPr>
        <w:t xml:space="preserve">coresetPoolIndex </w:t>
      </w:r>
      <w:r>
        <w:rPr>
          <w:rFonts w:hint="eastAsia"/>
          <w:b w:val="0"/>
          <w:bCs w:val="0"/>
          <w:u w:val="none"/>
          <w:lang w:val="en-US" w:eastAsia="zh-CN"/>
        </w:rPr>
        <w:t>needs to be configured was removed. Which means either one CORESET pool or two CORESET pools are both allowed for this scenario.</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1"/>
                <w:numId w:val="7"/>
              </w:numPr>
              <w:overflowPunct/>
              <w:autoSpaceDE/>
              <w:autoSpaceDN/>
              <w:adjustRightInd/>
              <w:snapToGrid w:val="0"/>
              <w:spacing w:after="0"/>
              <w:ind w:left="1440" w:leftChars="0" w:hanging="360" w:firstLineChars="0"/>
              <w:textAlignment w:val="auto"/>
              <w:rPr>
                <w:rFonts w:hint="default"/>
                <w:b w:val="0"/>
                <w:bCs w:val="0"/>
                <w:u w:val="none"/>
                <w:vertAlign w:val="baseline"/>
                <w:lang w:val="en-US" w:eastAsia="zh-CN"/>
              </w:rPr>
            </w:pPr>
            <w:r>
              <w:rPr>
                <w:rFonts w:eastAsia="Times New Roman"/>
                <w:szCs w:val="24"/>
                <w:lang w:eastAsia="en-US"/>
              </w:rPr>
              <w:t>Two TAs through reusing Rel-18 specification of two TAs for multi-DCI-based multi-TRP and removing the restriction that </w:t>
            </w:r>
            <w:r>
              <w:rPr>
                <w:rFonts w:eastAsia="Times New Roman"/>
                <w:i/>
                <w:iCs/>
                <w:szCs w:val="24"/>
                <w:lang w:eastAsia="en-US"/>
              </w:rPr>
              <w:t xml:space="preserve">coresetPoolIndex </w:t>
            </w:r>
            <w:r>
              <w:rPr>
                <w:rFonts w:eastAsia="Times New Roman"/>
                <w:szCs w:val="24"/>
                <w:lang w:eastAsia="en-US"/>
              </w:rPr>
              <w:t>needs to be configured, assuming legacy PRACH resources</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Besides the confirmation of 2TA, it is also mentioned that the Rel-17/18 unified TCI framework should be assumed for this scenario. RAN1 has also approved the following conclusion: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b/>
                <w:bCs/>
                <w:kern w:val="0"/>
                <w:sz w:val="20"/>
                <w:szCs w:val="20"/>
                <w:lang w:val="en-CA"/>
              </w:rPr>
            </w:pPr>
            <w:r>
              <w:rPr>
                <w:rFonts w:hint="eastAsia" w:ascii="Times New Roman" w:hAnsi="Times New Roman" w:eastAsia="等线" w:cs="Times New Roman"/>
                <w:b/>
                <w:bCs/>
                <w:kern w:val="0"/>
                <w:sz w:val="20"/>
                <w:szCs w:val="20"/>
                <w:lang w:val="en-CA"/>
              </w:rPr>
              <w:t>RAN</w:t>
            </w:r>
            <w:r>
              <w:rPr>
                <w:rFonts w:ascii="Times New Roman" w:hAnsi="Times New Roman" w:eastAsia="等线" w:cs="Times New Roman"/>
                <w:b/>
                <w:bCs/>
                <w:kern w:val="0"/>
                <w:sz w:val="20"/>
                <w:szCs w:val="20"/>
                <w:lang w:val="en-CA"/>
              </w:rPr>
              <w:t>1#117</w:t>
            </w:r>
            <w:r>
              <w:rPr>
                <w:rFonts w:hint="eastAsia" w:ascii="Times New Roman" w:hAnsi="Times New Roman" w:eastAsia="等线" w:cs="Times New Roman"/>
                <w:b/>
                <w:bCs/>
                <w:kern w:val="0"/>
                <w:sz w:val="20"/>
                <w:szCs w:val="20"/>
                <w:lang w:val="en-CA"/>
              </w:rPr>
              <w:t>:</w:t>
            </w:r>
          </w:p>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kern w:val="0"/>
                <w:sz w:val="20"/>
                <w:szCs w:val="20"/>
                <w:lang w:val="en-CA"/>
              </w:rPr>
            </w:pPr>
            <w:r>
              <w:rPr>
                <w:rFonts w:hint="eastAsia" w:ascii="Times New Roman" w:hAnsi="Times New Roman" w:eastAsia="等线" w:cs="Times New Roman"/>
                <w:b/>
                <w:bCs/>
                <w:kern w:val="0"/>
                <w:sz w:val="20"/>
                <w:szCs w:val="20"/>
                <w:lang w:val="en-CA"/>
              </w:rPr>
              <w:t>Conclusion</w:t>
            </w:r>
          </w:p>
          <w:p>
            <w:pPr>
              <w:keepNext w:val="0"/>
              <w:keepLines w:val="0"/>
              <w:pageBreakBefore w:val="0"/>
              <w:kinsoku/>
              <w:wordWrap/>
              <w:overflowPunct/>
              <w:topLinePunct w:val="0"/>
              <w:autoSpaceDE/>
              <w:autoSpaceDN/>
              <w:bidi w:val="0"/>
              <w:adjustRightInd/>
              <w:snapToGrid/>
              <w:textAlignment w:val="auto"/>
              <w:rPr>
                <w:rFonts w:ascii="Times New Roman" w:hAnsi="Times New Roman" w:eastAsia="等线" w:cs="Times New Roman"/>
                <w:kern w:val="0"/>
                <w:sz w:val="20"/>
                <w:szCs w:val="20"/>
                <w:lang w:val="en-CA"/>
              </w:rPr>
            </w:pPr>
            <w:r>
              <w:rPr>
                <w:rFonts w:ascii="Times New Roman" w:hAnsi="Times New Roman" w:eastAsia="等线" w:cs="Times New Roman"/>
                <w:kern w:val="0"/>
                <w:sz w:val="20"/>
                <w:szCs w:val="20"/>
                <w:lang w:val="en-CA"/>
              </w:rPr>
              <w:t>For the asymmetric DL sTRP/UL mTRP deployment scenario, reuse the rel-17 unified TCI/ICBM and rel-18 unified TCI framework:</w:t>
            </w:r>
          </w:p>
          <w:p>
            <w:pPr>
              <w:keepNext w:val="0"/>
              <w:keepLines w:val="0"/>
              <w:pageBreakBefore w:val="0"/>
              <w:widowControl/>
              <w:numPr>
                <w:ilvl w:val="0"/>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rel-17 unified TCI/ICBM is configured: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one joint TCI state or {one DL TCI state + one UL TCI state} can be applied.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FR2: {one DL TCI state + one UL TCI state} can be applied.</w:t>
            </w:r>
          </w:p>
          <w:p>
            <w:pPr>
              <w:keepNext w:val="0"/>
              <w:keepLines w:val="0"/>
              <w:pageBreakBefore w:val="0"/>
              <w:widowControl/>
              <w:numPr>
                <w:ilvl w:val="0"/>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When rel-18 unified TCI is configured: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FR1: up to two joint TCI states or {one DL TCI state + up to two UL TCI state} can be applied.</w:t>
            </w:r>
          </w:p>
          <w:p>
            <w:pPr>
              <w:keepNext w:val="0"/>
              <w:keepLines w:val="0"/>
              <w:pageBreakBefore w:val="0"/>
              <w:widowControl/>
              <w:numPr>
                <w:ilvl w:val="1"/>
                <w:numId w:val="8"/>
              </w:numPr>
              <w:kinsoku/>
              <w:wordWrap/>
              <w:overflowPunct/>
              <w:topLinePunct w:val="0"/>
              <w:autoSpaceDE/>
              <w:autoSpaceDN/>
              <w:bidi w:val="0"/>
              <w:adjustRightInd/>
              <w:snapToGrid/>
              <w:textAlignment w:val="auto"/>
              <w:rPr>
                <w:rFonts w:ascii="Times New Roman" w:hAnsi="Times New Roman" w:eastAsia="等线" w:cs="Times New Roman"/>
                <w:kern w:val="0"/>
                <w:sz w:val="20"/>
                <w:szCs w:val="22"/>
                <w:lang w:val="en-CA"/>
              </w:rPr>
            </w:pPr>
            <w:r>
              <w:rPr>
                <w:rFonts w:ascii="Times New Roman" w:hAnsi="Times New Roman" w:eastAsia="等线" w:cs="Times New Roman"/>
                <w:kern w:val="0"/>
                <w:sz w:val="20"/>
                <w:szCs w:val="22"/>
                <w:lang w:val="en-CA"/>
              </w:rPr>
              <w:t>For FR2: {one DL TCI state + up to two UL TCI states} can be applied.</w:t>
            </w:r>
          </w:p>
        </w:tc>
      </w:tr>
    </w:tbl>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So it can be determined that both R17 unified TCI and R18 unified TCI framework are assumed for the asymmetric scenario, and to support 2TA, both joint TCI state and separate TCI state indication could be considered.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bCs/>
          <w:lang w:val="en-US" w:eastAsia="zh-CN"/>
        </w:rPr>
        <w:t>Observation 1: Both R17 unified TCI and R18 unified TCI framework are assumed for the asymmetric scenario. Both joint and separate TCI state indication could be considered.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In R17 unified TCI framework, since target to sTRP case, so only one CORESET pool is configured, for each joint TCI state or UL TCI state, a single UL TCI state is involved in.</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In R18 MIMO, sDCI based and mDCI based mTRP scenario have been supported. Especially for mDCI, 2TA based UL transmission is introduced for the capable UE. While for sDCI case, 2TA based UL transmission is not supported due to a lack of time and scope management. To support 2TA mechanism, the association of TAG id with CORESET Pool id would be configured to UE. </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In previous RAN4 meeting, supporting 2TA for this scenario has been confirmed, so 2TA relevant RRM impact should be discussed.</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As a result, combined the 2TA demand with the unified TCI state framework, it seems the following cases are all in the scope:</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ind w:left="420" w:leftChars="0" w:hanging="420" w:firstLineChars="0"/>
        <w:textAlignment w:val="auto"/>
        <w:rPr>
          <w:rFonts w:hint="eastAsia"/>
          <w:b w:val="0"/>
          <w:bCs w:val="0"/>
          <w:u w:val="none"/>
          <w:lang w:val="en-US" w:eastAsia="zh-CN"/>
        </w:rPr>
      </w:pPr>
      <w:r>
        <w:rPr>
          <w:rFonts w:hint="eastAsia"/>
          <w:b w:val="0"/>
          <w:bCs w:val="0"/>
          <w:u w:val="none"/>
          <w:lang w:val="en-US" w:eastAsia="zh-CN"/>
        </w:rPr>
        <w:t>Case 1: 2TA +R17 unified TCI state framework</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ind w:left="420" w:leftChars="0" w:hanging="420" w:firstLineChars="0"/>
        <w:textAlignment w:val="auto"/>
        <w:rPr>
          <w:rFonts w:hint="default"/>
          <w:b w:val="0"/>
          <w:bCs w:val="0"/>
          <w:u w:val="none"/>
          <w:lang w:val="en-US" w:eastAsia="zh-CN"/>
        </w:rPr>
      </w:pPr>
      <w:r>
        <w:rPr>
          <w:rFonts w:hint="eastAsia"/>
          <w:b w:val="0"/>
          <w:bCs w:val="0"/>
          <w:u w:val="none"/>
          <w:lang w:val="en-US" w:eastAsia="zh-CN"/>
        </w:rPr>
        <w:t>Case 3: 2TA +R18 unified TCI state framework + sDCI</w:t>
      </w:r>
    </w:p>
    <w:p>
      <w:pPr>
        <w:pStyle w:val="10"/>
        <w:keepNext w:val="0"/>
        <w:keepLines w:val="0"/>
        <w:pageBreakBefore w:val="0"/>
        <w:widowControl/>
        <w:numPr>
          <w:ilvl w:val="0"/>
          <w:numId w:val="9"/>
        </w:numPr>
        <w:kinsoku/>
        <w:wordWrap/>
        <w:overflowPunct/>
        <w:topLinePunct w:val="0"/>
        <w:autoSpaceDE/>
        <w:autoSpaceDN/>
        <w:bidi w:val="0"/>
        <w:adjustRightInd/>
        <w:snapToGrid/>
        <w:spacing w:before="120"/>
        <w:ind w:left="420" w:leftChars="0" w:hanging="420" w:firstLineChars="0"/>
        <w:textAlignment w:val="auto"/>
        <w:rPr>
          <w:rFonts w:hint="default"/>
          <w:b w:val="0"/>
          <w:bCs w:val="0"/>
          <w:u w:val="none"/>
          <w:lang w:val="en-US" w:eastAsia="zh-CN"/>
        </w:rPr>
      </w:pPr>
      <w:r>
        <w:rPr>
          <w:rFonts w:hint="eastAsia"/>
          <w:b w:val="0"/>
          <w:bCs w:val="0"/>
          <w:strike w:val="0"/>
          <w:dstrike w:val="0"/>
          <w:u w:val="none"/>
          <w:lang w:val="en-US" w:eastAsia="zh-CN"/>
        </w:rPr>
        <w:t xml:space="preserve">Case 2: 2TA +R18 unified TCI </w:t>
      </w:r>
      <w:r>
        <w:rPr>
          <w:rFonts w:hint="eastAsia"/>
          <w:b w:val="0"/>
          <w:bCs w:val="0"/>
          <w:u w:val="none"/>
          <w:lang w:val="en-US" w:eastAsia="zh-CN"/>
        </w:rPr>
        <w:t xml:space="preserve">state </w:t>
      </w:r>
      <w:r>
        <w:rPr>
          <w:rFonts w:hint="eastAsia"/>
          <w:b w:val="0"/>
          <w:bCs w:val="0"/>
          <w:strike w:val="0"/>
          <w:dstrike w:val="0"/>
          <w:u w:val="none"/>
          <w:lang w:val="en-US" w:eastAsia="zh-CN"/>
        </w:rPr>
        <w:t>framework + mDCI</w:t>
      </w:r>
    </w:p>
    <w:p>
      <w:pPr>
        <w:pStyle w:val="10"/>
        <w:bidi w:val="0"/>
        <w:rPr>
          <w:rFonts w:hint="default"/>
          <w:b/>
          <w:bCs/>
          <w:lang w:val="en-US" w:eastAsia="zh-CN"/>
        </w:rPr>
      </w:pPr>
      <w:r>
        <w:rPr>
          <w:rFonts w:hint="eastAsia"/>
          <w:b w:val="0"/>
          <w:bCs w:val="0"/>
          <w:u w:val="none"/>
          <w:lang w:val="en-US" w:eastAsia="zh-CN"/>
        </w:rPr>
        <w:t xml:space="preserve">However, in RAN1 118bis meeting, to support 2TA and remove the restriction on </w:t>
      </w:r>
      <w:r>
        <w:rPr>
          <w:rFonts w:eastAsia="Times New Roman"/>
          <w:i/>
          <w:iCs/>
          <w:szCs w:val="24"/>
          <w:lang w:eastAsia="en-US"/>
        </w:rPr>
        <w:t>coresetPoolIndex</w:t>
      </w:r>
      <w:r>
        <w:rPr>
          <w:rFonts w:hint="eastAsia" w:eastAsia="宋体"/>
          <w:i/>
          <w:iCs/>
          <w:szCs w:val="24"/>
          <w:lang w:val="en-US" w:eastAsia="zh-CN"/>
        </w:rPr>
        <w:t xml:space="preserve"> </w:t>
      </w:r>
      <w:r>
        <w:rPr>
          <w:rFonts w:hint="eastAsia" w:eastAsia="宋体"/>
          <w:i w:val="0"/>
          <w:iCs w:val="0"/>
          <w:szCs w:val="24"/>
          <w:lang w:val="en-US" w:eastAsia="zh-CN"/>
        </w:rPr>
        <w:t>configuration</w:t>
      </w:r>
      <w:r>
        <w:rPr>
          <w:rFonts w:hint="eastAsia"/>
          <w:b w:val="0"/>
          <w:bCs w:val="0"/>
          <w:u w:val="none"/>
          <w:lang w:val="en-US" w:eastAsia="zh-CN"/>
        </w:rPr>
        <w:t>, some further progress was achieved as below:</w:t>
      </w:r>
    </w:p>
    <w:p>
      <w:pPr>
        <w:pStyle w:val="10"/>
        <w:bidi w:val="0"/>
        <w:rPr>
          <w:rFonts w:hint="eastAsia"/>
          <w:b/>
          <w:bCs/>
          <w:lang w:val="en-US" w:eastAsia="zh-CN"/>
        </w:rPr>
      </w:pPr>
      <w:r>
        <w:drawing>
          <wp:inline distT="0" distB="0" distL="114300" distR="114300">
            <wp:extent cx="5020310" cy="1723390"/>
            <wp:effectExtent l="0" t="0" r="889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020310" cy="1723390"/>
                    </a:xfrm>
                    <a:prstGeom prst="rect">
                      <a:avLst/>
                    </a:prstGeom>
                    <a:noFill/>
                    <a:ln>
                      <a:noFill/>
                    </a:ln>
                  </pic:spPr>
                </pic:pic>
              </a:graphicData>
            </a:graphic>
          </wp:inline>
        </w:drawing>
      </w:r>
    </w:p>
    <w:p>
      <w:pPr>
        <w:pStyle w:val="10"/>
        <w:bidi w:val="0"/>
        <w:rPr>
          <w:rFonts w:hint="default"/>
          <w:b/>
          <w:bCs/>
          <w:lang w:val="en-US" w:eastAsia="zh-CN"/>
        </w:rPr>
      </w:pPr>
      <w:r>
        <w:rPr>
          <w:rFonts w:hint="eastAsia"/>
          <w:b w:val="0"/>
          <w:bCs w:val="0"/>
          <w:u w:val="none"/>
          <w:lang w:val="en-US" w:eastAsia="zh-CN"/>
        </w:rPr>
        <w:t>It can be observed that a single DL reference timing is applied for both TAGs, and the mDCI case is excluded. So the above Case 3 would not happen.</w:t>
      </w:r>
    </w:p>
    <w:p>
      <w:pPr>
        <w:pStyle w:val="10"/>
        <w:bidi w:val="0"/>
        <w:rPr>
          <w:rFonts w:hint="default"/>
          <w:b/>
          <w:bCs/>
          <w:lang w:val="en-US" w:eastAsia="zh-CN"/>
        </w:rPr>
      </w:pPr>
      <w:r>
        <w:rPr>
          <w:rFonts w:hint="eastAsia"/>
          <w:b/>
          <w:bCs/>
          <w:lang w:val="en-US" w:eastAsia="zh-CN"/>
        </w:rPr>
        <w:t>Observation 2: Based on RAN1 progress, a single DL reference timing for both TAGs is confirmed, and mDCI case is excluded. So the two cases should be considered:</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 xml:space="preserve">Case 1: </w:t>
      </w:r>
      <w:r>
        <w:rPr>
          <w:rFonts w:hint="default"/>
          <w:b/>
          <w:bCs/>
          <w:lang w:val="en-US" w:eastAsia="zh-CN"/>
        </w:rPr>
        <w:t>2TA +R17 unified TCI state framework</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 xml:space="preserve">Case 2: </w:t>
      </w:r>
      <w:r>
        <w:rPr>
          <w:rFonts w:hint="default"/>
          <w:b/>
          <w:bCs/>
          <w:lang w:val="en-US" w:eastAsia="zh-CN"/>
        </w:rPr>
        <w:t>2TA +R18 unified TCI state framework + sDCI</w:t>
      </w:r>
    </w:p>
    <w:p>
      <w:pPr>
        <w:pStyle w:val="10"/>
        <w:bidi w:val="0"/>
        <w:rPr>
          <w:rFonts w:hint="eastAsia"/>
          <w:b w:val="0"/>
          <w:bCs w:val="0"/>
          <w:u w:val="none"/>
          <w:lang w:val="en-US" w:eastAsia="zh-CN"/>
        </w:rPr>
      </w:pPr>
      <w:r>
        <w:rPr>
          <w:rFonts w:hint="eastAsia"/>
          <w:b w:val="0"/>
          <w:bCs w:val="0"/>
          <w:u w:val="none"/>
          <w:lang w:val="en-US" w:eastAsia="zh-CN"/>
        </w:rPr>
        <w:t>For Case 1, only one CORESET pool is configured under R17 unified TCI framework. To support multiple UL links, some joint/UL TCI states associates to TRP1, and others associates to TRP2. Accordingly, TAG1 associates to the joint/UL TCI states associated to TRP1, and TAG2 associates to the joint/UL TCI states associated to TRP2. For the both two types of joint/UL TCI states, a common DL timing is assumed. Based on R17 unified TCI state framework, the source RS of UL TCI state could be SSB, CSI-RS or SRS. So it seems no RRM impact to reuse existing R17 UL TCI state. But for Joint TCI state, the source RS could only be SSB or CSI-RS, not SRS, while in this asymmetric scenario, whether SSB is sent from the UL only TRP, RAN1 approved LS reply in [3] during RAN1#119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before="0" w:after="0" w:line="240" w:lineRule="auto"/>
              <w:contextualSpacing/>
              <w:jc w:val="both"/>
              <w:rPr>
                <w:rFonts w:ascii="Times New Roman" w:hAnsi="Times New Roman" w:cs="Times New Roman"/>
                <w:b/>
                <w:bCs/>
              </w:rPr>
            </w:pPr>
            <w:r>
              <w:rPr>
                <w:rFonts w:ascii="Times New Roman" w:hAnsi="Times New Roman" w:cs="Times New Roman"/>
                <w:b/>
                <w:bCs/>
                <w:highlight w:val="lightGray"/>
              </w:rPr>
              <w:t xml:space="preserve">(NR MIMO 9.2.4) </w:t>
            </w:r>
            <w:r>
              <w:rPr>
                <w:rFonts w:ascii="Times New Roman" w:hAnsi="Times New Roman" w:cs="Times New Roman"/>
                <w:b/>
                <w:bCs/>
                <w:highlight w:val="lightGray"/>
              </w:rPr>
              <w:tab/>
            </w:r>
            <w:r>
              <w:rPr>
                <w:rFonts w:ascii="Times New Roman" w:hAnsi="Times New Roman" w:cs="Times New Roman"/>
                <w:b/>
                <w:bCs/>
                <w:highlight w:val="lightGray"/>
              </w:rPr>
              <w:t>Enhancement for asymmetric DL sTRP/UL mTRP scenarios</w:t>
            </w:r>
          </w:p>
          <w:p>
            <w:pPr>
              <w:spacing w:before="0" w:after="0" w:line="240" w:lineRule="auto"/>
              <w:contextualSpacing/>
              <w:jc w:val="both"/>
              <w:rPr>
                <w:rFonts w:ascii="Times New Roman" w:hAnsi="Times New Roman" w:cs="Times New Roman"/>
              </w:rPr>
            </w:pPr>
            <w:r>
              <w:rPr>
                <w:rFonts w:ascii="Times New Roman" w:hAnsi="Times New Roman" w:cs="Times New Roman"/>
                <w:b/>
              </w:rPr>
              <w:t>Question 1:</w:t>
            </w:r>
            <w:r>
              <w:rPr>
                <w:rFonts w:ascii="Times New Roman" w:hAnsi="Times New Roman" w:cs="Times New Roman"/>
              </w:rPr>
              <w:t xml:space="preserve">  RAN4 would like to inquire if the UL TRP(s) can transmit SSBs per the scope of the WID.</w:t>
            </w:r>
          </w:p>
          <w:p>
            <w:pPr>
              <w:spacing w:before="0" w:after="0" w:line="240" w:lineRule="auto"/>
              <w:contextualSpacing/>
              <w:jc w:val="both"/>
              <w:rPr>
                <w:rFonts w:ascii="Times New Roman" w:hAnsi="Times New Roman" w:cs="Times New Roman"/>
              </w:rPr>
            </w:pPr>
          </w:p>
          <w:p>
            <w:pPr>
              <w:pStyle w:val="10"/>
              <w:spacing w:after="0" w:line="240" w:lineRule="auto"/>
              <w:contextualSpacing/>
              <w:rPr>
                <w:rFonts w:hint="default"/>
                <w:b w:val="0"/>
                <w:bCs w:val="0"/>
                <w:u w:val="none"/>
                <w:vertAlign w:val="baseline"/>
                <w:lang w:val="en-US" w:eastAsia="zh-CN"/>
              </w:rPr>
            </w:pPr>
            <w:r>
              <w:rPr>
                <w:rFonts w:ascii="Times New Roman" w:hAnsi="Times New Roman"/>
                <w:b/>
                <w:bCs/>
              </w:rPr>
              <w:t>Reply for Question 1:</w:t>
            </w:r>
            <w:r>
              <w:rPr>
                <w:rFonts w:hint="eastAsia" w:ascii="Times New Roman" w:hAnsi="Times New Roman"/>
                <w:b/>
                <w:bCs/>
              </w:rPr>
              <w:t xml:space="preserve"> </w:t>
            </w:r>
            <w:r>
              <w:rPr>
                <w:rFonts w:ascii="Times New Roman" w:hAnsi="Times New Roman"/>
              </w:rPr>
              <w:t>From the perspective of UE: if UE is configured with PL offset in joint/UL TCI state(s), UE does not expect to receive SSB from UL TRP(s), else, UE may expect to receive SSB from UL TRP(s).</w:t>
            </w:r>
          </w:p>
        </w:tc>
      </w:tr>
    </w:tbl>
    <w:p>
      <w:pPr>
        <w:pStyle w:val="10"/>
        <w:bidi w:val="0"/>
        <w:rPr>
          <w:rFonts w:hint="default"/>
          <w:b w:val="0"/>
          <w:bCs w:val="0"/>
          <w:u w:val="none"/>
          <w:lang w:val="en-US" w:eastAsia="zh-CN"/>
        </w:rPr>
      </w:pPr>
      <w:r>
        <w:rPr>
          <w:rFonts w:hint="eastAsia"/>
          <w:b w:val="0"/>
          <w:bCs w:val="0"/>
          <w:u w:val="none"/>
          <w:lang w:val="en-US" w:eastAsia="zh-CN"/>
        </w:rPr>
        <w:t>Therefore, the two cases with SSB transmission and without SSB transmission are both allowed.</w:t>
      </w:r>
    </w:p>
    <w:p>
      <w:pPr>
        <w:pStyle w:val="10"/>
        <w:bidi w:val="0"/>
        <w:rPr>
          <w:rFonts w:hint="eastAsia"/>
          <w:b w:val="0"/>
          <w:bCs w:val="0"/>
          <w:u w:val="none"/>
          <w:lang w:val="en-US" w:eastAsia="zh-CN"/>
        </w:rPr>
      </w:pPr>
      <w:r>
        <w:rPr>
          <w:rFonts w:hint="eastAsia"/>
          <w:b w:val="0"/>
          <w:bCs w:val="0"/>
          <w:u w:val="none"/>
          <w:lang w:val="en-US" w:eastAsia="zh-CN"/>
        </w:rPr>
        <w:t xml:space="preserve">to our understanding, not any DL signal including DL RS could be transmitted by the UL only TRP, if this can be confirmed, then RAN4 needs to discuss whether and how to apply R17 joint TCI state in the asymmetric scenario. In last RAN4 meeting, RF session sent 1 LS[3] to RAN1 to request the clarification on whether SSB could be transmitted through the UL-only TRP, we can wait for RAN1 reply. </w:t>
      </w:r>
    </w:p>
    <w:p>
      <w:pPr>
        <w:pStyle w:val="10"/>
        <w:bidi w:val="0"/>
        <w:rPr>
          <w:rFonts w:hint="default"/>
          <w:b w:val="0"/>
          <w:bCs w:val="0"/>
          <w:u w:val="none"/>
          <w:lang w:val="en-US" w:eastAsia="zh-CN"/>
        </w:rPr>
      </w:pPr>
      <w:r>
        <w:rPr>
          <w:rFonts w:hint="eastAsia"/>
          <w:b w:val="0"/>
          <w:bCs w:val="0"/>
          <w:u w:val="none"/>
          <w:lang w:val="en-US" w:eastAsia="zh-CN"/>
        </w:rPr>
        <w:t>Actually Case 2 is very similar as Case 1, only differentiate at the number of UL TCI state. From RAN4 perspective, if SSB is still received from the UL-only TRP, then both existing R17/18 joint and UL TCI state could be reused. If no SSB received from the UL-only TRP, RAN4 needs to discuss how to revise the R17/18 joint TCI state to facilitate the asymmetric scenario.</w:t>
      </w:r>
    </w:p>
    <w:p>
      <w:pPr>
        <w:pStyle w:val="10"/>
        <w:bidi w:val="0"/>
        <w:rPr>
          <w:rFonts w:hint="default"/>
          <w:b/>
          <w:bCs/>
          <w:lang w:val="en-US" w:eastAsia="zh-CN"/>
        </w:rPr>
      </w:pPr>
      <w:r>
        <w:rPr>
          <w:rFonts w:hint="eastAsia"/>
          <w:b/>
          <w:bCs/>
          <w:lang w:val="en-US" w:eastAsia="zh-CN"/>
        </w:rPr>
        <w:t>Observation 3: UL TCI state in R17/18 unified TCI state could associate to SSB, CSI-RS and SRS. Joint TCI state in R17/18 unified TCI state could not associate to SRS. No existing requirements defined for SRS associated case.</w:t>
      </w:r>
    </w:p>
    <w:p>
      <w:pPr>
        <w:pStyle w:val="10"/>
        <w:bidi w:val="0"/>
        <w:rPr>
          <w:rFonts w:hint="eastAsia"/>
          <w:b/>
          <w:bCs/>
          <w:lang w:val="en-US" w:eastAsia="zh-CN"/>
        </w:rPr>
      </w:pPr>
      <w:r>
        <w:rPr>
          <w:rFonts w:hint="eastAsia"/>
          <w:b/>
          <w:bCs/>
          <w:lang w:val="en-US" w:eastAsia="zh-CN"/>
        </w:rPr>
        <w:t xml:space="preserve">Proposal 3: When applying R17/18 unified TCI state framework to support 2TA in asymmetric scenario, </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If there is SSB received from the UL-only TRP, both existing R17/18 joint and UL TCI state could be used.</w:t>
      </w:r>
    </w:p>
    <w:p>
      <w:pPr>
        <w:pStyle w:val="10"/>
        <w:numPr>
          <w:ilvl w:val="0"/>
          <w:numId w:val="10"/>
        </w:numPr>
        <w:bidi w:val="0"/>
        <w:ind w:left="840" w:leftChars="0" w:hanging="420" w:firstLineChars="0"/>
        <w:rPr>
          <w:rFonts w:hint="eastAsia" w:cs="Times New Roman"/>
          <w:b w:val="0"/>
          <w:bCs w:val="0"/>
          <w:szCs w:val="24"/>
          <w:u w:val="none"/>
          <w:lang w:val="en-US" w:eastAsia="zh-CN" w:bidi="ar-SA"/>
        </w:rPr>
      </w:pPr>
      <w:r>
        <w:rPr>
          <w:rFonts w:hint="eastAsia"/>
          <w:b/>
          <w:bCs/>
          <w:lang w:val="en-US" w:eastAsia="zh-CN"/>
        </w:rPr>
        <w:t>Otherwise, only the UL TCI state of existing R17/18 could be used for the UL-only TRP.</w:t>
      </w:r>
    </w:p>
    <w:p>
      <w:pPr>
        <w:pStyle w:val="10"/>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For the case of with SSB transmission from the UL-only TRP, UE could obtain and maintain two TAs referring to respective DL timing. For the case of without SSB transmission from the UL-only TRP, a common DL timing is determined as the reception of the first detected path (in time) of the corresponding downlink frame of the reference signal from the DL&amp;UL TRP.</w:t>
      </w:r>
    </w:p>
    <w:p>
      <w:pPr>
        <w:pStyle w:val="10"/>
        <w:bidi w:val="0"/>
        <w:rPr>
          <w:rFonts w:hint="eastAsia"/>
          <w:b/>
          <w:bCs/>
          <w:lang w:val="en-US" w:eastAsia="zh-CN"/>
        </w:rPr>
      </w:pPr>
      <w:r>
        <w:rPr>
          <w:rFonts w:hint="eastAsia"/>
          <w:b/>
          <w:bCs/>
          <w:lang w:val="en-US" w:eastAsia="zh-CN"/>
        </w:rPr>
        <w:t xml:space="preserve">Proposal 4: For the case of with SSB transmission from the UL-only TRP, UE obtain and maintain two TAs referring to respective DL timing. </w:t>
      </w:r>
    </w:p>
    <w:p>
      <w:pPr>
        <w:pStyle w:val="10"/>
        <w:bidi w:val="0"/>
        <w:rPr>
          <w:rFonts w:hint="default" w:cs="Times New Roman"/>
          <w:b w:val="0"/>
          <w:bCs w:val="0"/>
          <w:szCs w:val="24"/>
          <w:u w:val="none"/>
          <w:lang w:val="en-US" w:eastAsia="zh-CN" w:bidi="ar-SA"/>
        </w:rPr>
      </w:pPr>
      <w:r>
        <w:rPr>
          <w:rFonts w:hint="eastAsia"/>
          <w:b/>
          <w:bCs/>
          <w:lang w:val="en-US" w:eastAsia="zh-CN"/>
        </w:rPr>
        <w:t xml:space="preserve">For the case of without SSB transmission from the UL-only TRP, for each TAG, the uplink transmission timing takes place </w:t>
      </w:r>
      <w:r>
        <w:rPr>
          <w:rFonts w:hint="eastAsia"/>
          <w:b/>
          <w:bCs/>
          <w:lang w:val="en-US" w:eastAsia="zh-CN"/>
        </w:rPr>
        <w:object>
          <v:shape id="_x0000_i1025" o:spt="75" type="#_x0000_t75" style="height:12.35pt;width:88.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b/>
          <w:bCs/>
          <w:lang w:val="en-US" w:eastAsia="zh-CN"/>
        </w:rPr>
        <w:t xml:space="preserve"> before the reception of the first detected path  of the downlink frame of the reference signal associated with UL/joint TCI state.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10"/>
        <w:bidi w:val="0"/>
        <w:rPr>
          <w:rFonts w:hint="eastAsia"/>
          <w:b/>
          <w:bCs/>
          <w:lang w:val="en-US" w:eastAsia="zh-CN"/>
        </w:rPr>
      </w:pPr>
      <w:r>
        <w:rPr>
          <w:rFonts w:hint="eastAsia"/>
          <w:b/>
          <w:bCs/>
          <w:lang w:val="en-US" w:eastAsia="zh-CN"/>
        </w:rPr>
        <w:t>Proposal 1: For aperiodic standalone CJT calibration reporting, determine the measurement period and the accuracy based on evaluation results.</w:t>
      </w:r>
    </w:p>
    <w:p>
      <w:pPr>
        <w:pStyle w:val="10"/>
        <w:keepNext w:val="0"/>
        <w:keepLines w:val="0"/>
        <w:pageBreakBefore w:val="0"/>
        <w:widowControl/>
        <w:kinsoku/>
        <w:wordWrap/>
        <w:overflowPunct/>
        <w:topLinePunct w:val="0"/>
        <w:autoSpaceDE/>
        <w:autoSpaceDN/>
        <w:bidi w:val="0"/>
        <w:adjustRightInd/>
        <w:snapToGrid/>
        <w:spacing w:before="120"/>
        <w:textAlignment w:val="auto"/>
        <w:rPr>
          <w:rFonts w:hint="eastAsia"/>
          <w:b/>
          <w:bCs/>
          <w:lang w:val="en-US" w:eastAsia="zh-CN"/>
        </w:rPr>
      </w:pPr>
      <w:r>
        <w:rPr>
          <w:rFonts w:hint="eastAsia"/>
          <w:b/>
          <w:bCs/>
          <w:lang w:val="en-US" w:eastAsia="zh-CN"/>
        </w:rPr>
        <w:t>Observation 1: Both R17 unified TCI and R18 unified TCI framework are assumed for the asymmetric scenario. Both joint and separate TCI state indication could be considered.</w:t>
      </w:r>
    </w:p>
    <w:p>
      <w:pPr>
        <w:pStyle w:val="10"/>
        <w:bidi w:val="0"/>
        <w:rPr>
          <w:rFonts w:hint="default"/>
          <w:b/>
          <w:bCs/>
          <w:lang w:val="en-US" w:eastAsia="zh-CN"/>
        </w:rPr>
      </w:pPr>
      <w:r>
        <w:rPr>
          <w:rFonts w:hint="eastAsia"/>
          <w:b/>
          <w:bCs/>
          <w:lang w:val="en-US" w:eastAsia="zh-CN"/>
        </w:rPr>
        <w:t>Observation 2: Based on RAN1 progress, a single DL reference timing for both TAGs is confirmed, and mDCI case is excluded. So the two cases should be considered:</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 xml:space="preserve">Case 1: </w:t>
      </w:r>
      <w:r>
        <w:rPr>
          <w:rFonts w:hint="default"/>
          <w:b/>
          <w:bCs/>
          <w:lang w:val="en-US" w:eastAsia="zh-CN"/>
        </w:rPr>
        <w:t>2TA +R17 unified TCI state framework</w:t>
      </w:r>
    </w:p>
    <w:p>
      <w:pPr>
        <w:pStyle w:val="10"/>
        <w:numPr>
          <w:ilvl w:val="0"/>
          <w:numId w:val="10"/>
        </w:numPr>
        <w:bidi w:val="0"/>
        <w:ind w:left="840" w:leftChars="0" w:hanging="420" w:firstLineChars="0"/>
        <w:rPr>
          <w:rFonts w:hint="eastAsia"/>
          <w:b/>
          <w:bCs/>
          <w:lang w:val="en-US" w:eastAsia="zh-CN"/>
        </w:rPr>
      </w:pPr>
      <w:r>
        <w:rPr>
          <w:rFonts w:hint="eastAsia"/>
          <w:b/>
          <w:bCs/>
          <w:lang w:val="en-US" w:eastAsia="zh-CN"/>
        </w:rPr>
        <w:t xml:space="preserve">Case 2: </w:t>
      </w:r>
      <w:r>
        <w:rPr>
          <w:rFonts w:hint="default"/>
          <w:b/>
          <w:bCs/>
          <w:lang w:val="en-US" w:eastAsia="zh-CN"/>
        </w:rPr>
        <w:t>2TA +R18 unified TCI state framework + sDCI</w:t>
      </w:r>
    </w:p>
    <w:p>
      <w:pPr>
        <w:pStyle w:val="10"/>
        <w:bidi w:val="0"/>
        <w:rPr>
          <w:rFonts w:hint="default"/>
          <w:b/>
          <w:bCs/>
          <w:lang w:val="en-US" w:eastAsia="zh-CN"/>
        </w:rPr>
      </w:pPr>
      <w:r>
        <w:rPr>
          <w:rFonts w:hint="eastAsia"/>
          <w:b/>
          <w:bCs/>
          <w:lang w:val="en-US" w:eastAsia="zh-CN"/>
        </w:rPr>
        <w:t>Observation 3: UL TCI state in R17/18 unified TCI state could associate to SSB, CSI-RS and SRS. Joint TCI state in R17/18 unified TCI state could not associate to SRS. No existing requirements defined for SRS associated case.</w:t>
      </w:r>
    </w:p>
    <w:p>
      <w:pPr>
        <w:pStyle w:val="10"/>
        <w:bidi w:val="0"/>
        <w:rPr>
          <w:rFonts w:hint="eastAsia"/>
          <w:b/>
          <w:bCs/>
          <w:lang w:val="en-US" w:eastAsia="zh-CN"/>
        </w:rPr>
      </w:pPr>
      <w:r>
        <w:rPr>
          <w:rFonts w:hint="eastAsia"/>
          <w:b/>
          <w:bCs/>
          <w:lang w:val="en-US" w:eastAsia="zh-CN"/>
        </w:rPr>
        <w:t xml:space="preserve">Proposal 3: When applying R17/18 unified TCI state framework to support 2TA in asymmetric scenario, </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If there is SSB received from the UL-only TRP, both existing R17/18 joint and UL TCI state could be used.</w:t>
      </w:r>
    </w:p>
    <w:p>
      <w:pPr>
        <w:pStyle w:val="10"/>
        <w:numPr>
          <w:ilvl w:val="0"/>
          <w:numId w:val="10"/>
        </w:numPr>
        <w:bidi w:val="0"/>
        <w:ind w:left="840" w:leftChars="0" w:hanging="420" w:firstLineChars="0"/>
        <w:rPr>
          <w:rFonts w:hint="default"/>
          <w:b/>
          <w:bCs/>
          <w:lang w:val="en-US" w:eastAsia="zh-CN"/>
        </w:rPr>
      </w:pPr>
      <w:r>
        <w:rPr>
          <w:rFonts w:hint="eastAsia"/>
          <w:b/>
          <w:bCs/>
          <w:lang w:val="en-US" w:eastAsia="zh-CN"/>
        </w:rPr>
        <w:t>Otherwise, only the UL TCI state of existing R17/18 could be used for the UL-only TRP.</w:t>
      </w:r>
    </w:p>
    <w:p>
      <w:pPr>
        <w:pStyle w:val="10"/>
        <w:bidi w:val="0"/>
        <w:rPr>
          <w:rFonts w:hint="eastAsia"/>
          <w:b/>
          <w:bCs/>
          <w:lang w:val="en-US" w:eastAsia="zh-CN"/>
        </w:rPr>
      </w:pPr>
      <w:r>
        <w:rPr>
          <w:rFonts w:hint="eastAsia"/>
          <w:b/>
          <w:bCs/>
          <w:lang w:val="en-US" w:eastAsia="zh-CN"/>
        </w:rPr>
        <w:t xml:space="preserve">Proposal 4: For the case of with SSB transmission from the UL-only TRP, UE obtain and maintain two TAs referring to respective DL timing. </w:t>
      </w:r>
    </w:p>
    <w:p>
      <w:pPr>
        <w:pStyle w:val="10"/>
        <w:bidi w:val="0"/>
        <w:rPr>
          <w:rFonts w:hint="eastAsia" w:eastAsia="宋体"/>
          <w:bCs/>
          <w:color w:val="auto"/>
          <w:sz w:val="20"/>
          <w:szCs w:val="20"/>
          <w:lang w:val="en-US" w:eastAsia="zh-CN"/>
        </w:rPr>
      </w:pPr>
      <w:r>
        <w:rPr>
          <w:rFonts w:hint="eastAsia"/>
          <w:b/>
          <w:bCs/>
          <w:lang w:val="en-US" w:eastAsia="zh-CN"/>
        </w:rPr>
        <w:t xml:space="preserve">For the case of without SSB transmission from the UL-only TRP, for each TAG, the uplink transmission timing takes place </w:t>
      </w:r>
      <w:r>
        <w:rPr>
          <w:rFonts w:hint="eastAsia"/>
          <w:b/>
          <w:bCs/>
          <w:lang w:val="en-US" w:eastAsia="zh-CN"/>
        </w:rPr>
        <w:object>
          <v:shape id="_x0000_i1026" o:spt="75" type="#_x0000_t75" style="height:12.35pt;width:88.3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rFonts w:hint="eastAsia"/>
          <w:b/>
          <w:bCs/>
          <w:lang w:val="en-US" w:eastAsia="zh-CN"/>
        </w:rPr>
        <w:t xml:space="preserve"> before the reception of the first detected path  of the downlink frame of the reference signal associated with UL/joint TCI state.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0"/>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R4-2420108, WF on RRM requirements for NR_MIMO_Ph5_part 2, RAN4#113</w:t>
      </w:r>
    </w:p>
    <w:p>
      <w:pPr>
        <w:pStyle w:val="60"/>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R4-2417117, LS on UE RF issues for Rel-19 MIMO enhancement, RAN4#112bis</w:t>
      </w:r>
    </w:p>
    <w:p>
      <w:pPr>
        <w:pStyle w:val="60"/>
        <w:numPr>
          <w:ilvl w:val="0"/>
          <w:numId w:val="11"/>
        </w:numPr>
        <w:spacing w:after="120" w:line="288" w:lineRule="auto"/>
        <w:ind w:firstLineChars="0"/>
        <w:rPr>
          <w:rFonts w:hint="eastAsia"/>
          <w:color w:val="auto"/>
          <w:sz w:val="20"/>
          <w:szCs w:val="20"/>
          <w:highlight w:val="none"/>
          <w:lang w:val="en-US" w:eastAsia="zh-CN"/>
        </w:rPr>
      </w:pPr>
      <w:r>
        <w:rPr>
          <w:rFonts w:hint="eastAsia"/>
          <w:color w:val="auto"/>
          <w:sz w:val="20"/>
          <w:szCs w:val="20"/>
          <w:highlight w:val="none"/>
          <w:lang w:val="en-US" w:eastAsia="zh-CN"/>
        </w:rPr>
        <w:t>R1-2410870, Reply to RAN4 LS on UE RF issues for Rel-19 MIMO Enhancement, RAN1#119</w:t>
      </w:r>
    </w:p>
    <w:p>
      <w:pPr>
        <w:pStyle w:val="60"/>
        <w:numPr>
          <w:ilvl w:val="0"/>
          <w:numId w:val="0"/>
        </w:numPr>
        <w:spacing w:after="120" w:line="288" w:lineRule="auto"/>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B81AC"/>
    <w:multiLevelType w:val="multilevel"/>
    <w:tmpl w:val="DE8B81AC"/>
    <w:lvl w:ilvl="0" w:tentative="0">
      <w:start w:val="2"/>
      <w:numFmt w:val="decimal"/>
      <w:lvlText w:val="%1."/>
      <w:lvlJc w:val="left"/>
      <w:pPr>
        <w:tabs>
          <w:tab w:val="left" w:pos="720"/>
        </w:tabs>
        <w:ind w:left="720" w:hanging="360"/>
      </w:pPr>
    </w:lvl>
    <w:lvl w:ilvl="1" w:tentative="0">
      <w:start w:val="2"/>
      <w:numFmt w:val="lowerLetter"/>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38B4A06"/>
    <w:multiLevelType w:val="singleLevel"/>
    <w:tmpl w:val="038B4A06"/>
    <w:lvl w:ilvl="0" w:tentative="0">
      <w:start w:val="1"/>
      <w:numFmt w:val="bullet"/>
      <w:lvlText w:val=""/>
      <w:lvlJc w:val="left"/>
      <w:pPr>
        <w:tabs>
          <w:tab w:val="left" w:pos="420"/>
        </w:tabs>
        <w:ind w:left="840" w:hanging="420"/>
      </w:pPr>
      <w:rPr>
        <w:rFonts w:hint="default" w:ascii="Wingdings" w:hAnsi="Wingdings"/>
      </w:rPr>
    </w:lvl>
  </w:abstractNum>
  <w:abstractNum w:abstractNumId="2">
    <w:nsid w:val="0816E65F"/>
    <w:multiLevelType w:val="singleLevel"/>
    <w:tmpl w:val="0816E65F"/>
    <w:lvl w:ilvl="0" w:tentative="0">
      <w:start w:val="1"/>
      <w:numFmt w:val="bullet"/>
      <w:lvlText w:val=""/>
      <w:lvlJc w:val="left"/>
      <w:pPr>
        <w:ind w:left="420" w:hanging="420"/>
      </w:pPr>
      <w:rPr>
        <w:rFonts w:hint="default" w:ascii="Wingdings" w:hAnsi="Wingdings"/>
      </w:rPr>
    </w:lvl>
  </w:abstractNum>
  <w:abstractNum w:abstractNumId="3">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21D65C1"/>
    <w:multiLevelType w:val="multilevel"/>
    <w:tmpl w:val="221D65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FE1331"/>
    <w:multiLevelType w:val="multilevel"/>
    <w:tmpl w:val="23FE13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DBAD96"/>
    <w:multiLevelType w:val="singleLevel"/>
    <w:tmpl w:val="40DBAD96"/>
    <w:lvl w:ilvl="0" w:tentative="0">
      <w:start w:val="1"/>
      <w:numFmt w:val="bullet"/>
      <w:lvlText w:val=""/>
      <w:lvlJc w:val="left"/>
      <w:pPr>
        <w:ind w:left="420" w:hanging="420"/>
      </w:pPr>
      <w:rPr>
        <w:rFonts w:hint="default" w:ascii="Wingdings" w:hAnsi="Wingdings"/>
      </w:rPr>
    </w:lvl>
  </w:abstractNum>
  <w:abstractNum w:abstractNumId="8">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A893FC2"/>
    <w:multiLevelType w:val="multilevel"/>
    <w:tmpl w:val="7A893F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8"/>
  </w:num>
  <w:num w:numId="3">
    <w:abstractNumId w:val="4"/>
  </w:num>
  <w:num w:numId="4">
    <w:abstractNumId w:val="10"/>
  </w:num>
  <w:num w:numId="5">
    <w:abstractNumId w:val="6"/>
  </w:num>
  <w:num w:numId="6">
    <w:abstractNumId w:val="2"/>
  </w:num>
  <w:num w:numId="7">
    <w:abstractNumId w:val="0"/>
  </w:num>
  <w:num w:numId="8">
    <w:abstractNumId w:val="5"/>
  </w:num>
  <w:num w:numId="9">
    <w:abstractNumId w:val="7"/>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4B6418"/>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E90962"/>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91F99"/>
    <w:rsid w:val="0B6E169D"/>
    <w:rsid w:val="0B735EF6"/>
    <w:rsid w:val="0B8D76AE"/>
    <w:rsid w:val="0B937689"/>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82368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851262"/>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21B65"/>
    <w:rsid w:val="17E3400D"/>
    <w:rsid w:val="17F30A5E"/>
    <w:rsid w:val="180A6E32"/>
    <w:rsid w:val="181048FB"/>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93BA2"/>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DA03C7"/>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04368"/>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53F88"/>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D056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123BFB"/>
    <w:rsid w:val="26213C17"/>
    <w:rsid w:val="26233B26"/>
    <w:rsid w:val="2633160E"/>
    <w:rsid w:val="265B3CA1"/>
    <w:rsid w:val="265F6DC4"/>
    <w:rsid w:val="2662516B"/>
    <w:rsid w:val="26674DA0"/>
    <w:rsid w:val="266D3EB0"/>
    <w:rsid w:val="267D2B84"/>
    <w:rsid w:val="267F14C1"/>
    <w:rsid w:val="269340B6"/>
    <w:rsid w:val="2694746C"/>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9E3F0A"/>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A79A4"/>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94F3C"/>
    <w:rsid w:val="3D5E2933"/>
    <w:rsid w:val="3D5E7AA8"/>
    <w:rsid w:val="3D662F1C"/>
    <w:rsid w:val="3D6F2596"/>
    <w:rsid w:val="3D796230"/>
    <w:rsid w:val="3D7A5022"/>
    <w:rsid w:val="3D7C4968"/>
    <w:rsid w:val="3D924D6B"/>
    <w:rsid w:val="3D975710"/>
    <w:rsid w:val="3D9B313F"/>
    <w:rsid w:val="3D9B41D0"/>
    <w:rsid w:val="3D9C1792"/>
    <w:rsid w:val="3DB3129A"/>
    <w:rsid w:val="3DB6486B"/>
    <w:rsid w:val="3DBA6551"/>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BE37A3"/>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1E7550"/>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3355B"/>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8FD70CE"/>
    <w:rsid w:val="491A7B75"/>
    <w:rsid w:val="493776D8"/>
    <w:rsid w:val="493801BB"/>
    <w:rsid w:val="493C6BB3"/>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03881"/>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21776"/>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6A172E"/>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EF622F"/>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B82344"/>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713F3D"/>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068CF"/>
    <w:rsid w:val="67A834CD"/>
    <w:rsid w:val="67A858DB"/>
    <w:rsid w:val="67AC4269"/>
    <w:rsid w:val="67AE0C55"/>
    <w:rsid w:val="67B32DD2"/>
    <w:rsid w:val="67BE757E"/>
    <w:rsid w:val="67C122F0"/>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781E06"/>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BC20E4"/>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57A0F"/>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755EE0"/>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9874D5"/>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스타일 스타일 스타일 스타일 양쪽 첫 줄:  2 글자 + 첫 줄:  2 글자 + 첫 줄:  2 글자 + 첫 줄:  2..."/>
    <w:basedOn w:val="61"/>
    <w:qFormat/>
    <w:uiPriority w:val="0"/>
    <w:pPr>
      <w:spacing w:line="336" w:lineRule="auto"/>
    </w:pPr>
  </w:style>
  <w:style w:type="paragraph" w:customStyle="1" w:styleId="61">
    <w:name w:val="스타일 스타일 스타일 양쪽 첫 줄:  2 글자 + 첫 줄:  2 글자 + 첫 줄:  2 글자"/>
    <w:basedOn w:val="62"/>
    <w:qFormat/>
    <w:uiPriority w:val="0"/>
    <w:pPr>
      <w:spacing w:line="312" w:lineRule="auto"/>
    </w:pPr>
  </w:style>
  <w:style w:type="paragraph" w:customStyle="1" w:styleId="62">
    <w:name w:val="스타일 스타일 양쪽 첫 줄:  2 글자 + 첫 줄:  2 글자"/>
    <w:basedOn w:val="63"/>
    <w:qFormat/>
    <w:uiPriority w:val="0"/>
    <w:pPr>
      <w:spacing w:line="300" w:lineRule="auto"/>
    </w:pPr>
  </w:style>
  <w:style w:type="paragraph" w:customStyle="1" w:styleId="63">
    <w:name w:val="스타일 양쪽 첫 줄:  2 글자"/>
    <w:basedOn w:val="1"/>
    <w:qFormat/>
    <w:uiPriority w:val="0"/>
    <w:pPr>
      <w:spacing w:line="288" w:lineRule="auto"/>
      <w:ind w:firstLine="200" w:firstLineChars="200"/>
      <w:jc w:val="both"/>
    </w:pPr>
    <w:rPr>
      <w:rFonts w:cs="Batang"/>
    </w:rPr>
  </w:style>
  <w:style w:type="paragraph" w:customStyle="1" w:styleId="64">
    <w:name w:val="0 Main text"/>
    <w:basedOn w:val="65"/>
    <w:qFormat/>
    <w:uiPriority w:val="0"/>
    <w:pPr>
      <w:spacing w:before="0" w:after="100" w:afterAutospacing="1"/>
      <w:ind w:firstLine="360" w:firstLineChars="0"/>
    </w:pPr>
    <w:rPr>
      <w:sz w:val="20"/>
      <w:lang w:eastAsia="en-US"/>
    </w:rPr>
  </w:style>
  <w:style w:type="paragraph" w:customStyle="1" w:styleId="65">
    <w:name w:val="main text"/>
    <w:basedOn w:val="1"/>
    <w:qFormat/>
    <w:uiPriority w:val="0"/>
    <w:pPr>
      <w:spacing w:before="60" w:after="60" w:line="288" w:lineRule="auto"/>
      <w:ind w:firstLine="200" w:firstLineChars="200"/>
      <w:jc w:val="both"/>
    </w:pPr>
    <w:rPr>
      <w:rFonts w:cs="Batang"/>
      <w:lang w:eastAsia="ko-KR"/>
    </w:rPr>
  </w:style>
  <w:style w:type="paragraph" w:customStyle="1" w:styleId="66">
    <w:name w:val="B2"/>
    <w:basedOn w:val="1"/>
    <w:qFormat/>
    <w:uiPriority w:val="0"/>
    <w:pPr>
      <w:ind w:left="851" w:hanging="284"/>
    </w:pPr>
    <w:rPr>
      <w:lang w:val="zh-CN"/>
    </w:rPr>
  </w:style>
  <w:style w:type="paragraph" w:customStyle="1" w:styleId="67">
    <w:name w:val="B3"/>
    <w:basedOn w:val="1"/>
    <w:qFormat/>
    <w:uiPriority w:val="0"/>
    <w:pPr>
      <w:ind w:left="1135" w:hanging="284"/>
    </w:pPr>
  </w:style>
  <w:style w:type="paragraph" w:customStyle="1" w:styleId="68">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2025-02-07T08:57:23Z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